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spacing w:line="320" w:lineRule="exact"/>
        <w:jc w:val="center"/>
        <w:rPr>
          <w:kern w:val="0"/>
          <w:szCs w:val="21"/>
        </w:rPr>
      </w:pPr>
      <w:r>
        <w:rPr>
          <w:rFonts w:hint="eastAsia"/>
          <w:kern w:val="0"/>
          <w:szCs w:val="21"/>
        </w:rPr>
        <w:t>b）立面照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9" w:name="_Hlk63174666"/>
      <w:r>
        <w:rPr>
          <w:rFonts w:hint="eastAsia" w:ascii="宋体" w:hAnsi="宋体"/>
          <w:color w:val="0000FF"/>
          <w:sz w:val="24"/>
        </w:rPr>
        <w:t>{{F_info.gongChengMingCheng}}</w:t>
      </w:r>
      <w:bookmarkEnd w:id="9"/>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0" w:name="_Toc374086592"/>
      <w:bookmarkStart w:id="11" w:name="_Toc433118713"/>
      <w:bookmarkStart w:id="12" w:name="_Toc68012903"/>
      <w:bookmarkStart w:id="13" w:name="_Toc16501675"/>
      <w:r>
        <w:rPr>
          <w:rFonts w:hint="eastAsia"/>
          <w:b/>
          <w:sz w:val="28"/>
          <w:szCs w:val="28"/>
        </w:rPr>
        <w:t>2.</w:t>
      </w:r>
      <w:bookmarkEnd w:id="10"/>
      <w:bookmarkEnd w:id="11"/>
      <w:bookmarkEnd w:id="12"/>
      <w:bookmarkEnd w:id="13"/>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4" w:name="_Toc68012904"/>
      <w:bookmarkStart w:id="15" w:name="_Toc530597123"/>
      <w:bookmarkStart w:id="16" w:name="_Toc37785261"/>
      <w:bookmarkStart w:id="17" w:name="_Toc374086593"/>
      <w:bookmarkStart w:id="18" w:name="_Toc433118714"/>
      <w:r>
        <w:rPr>
          <w:rFonts w:hint="eastAsia" w:ascii="Times New Roman" w:hAnsi="Times New Roman"/>
          <w:sz w:val="24"/>
          <w:szCs w:val="24"/>
        </w:rPr>
        <w:t>3.1</w:t>
      </w:r>
      <w:bookmarkEnd w:id="14"/>
      <w:bookmarkEnd w:id="15"/>
      <w:bookmarkEnd w:id="16"/>
      <w:bookmarkEnd w:id="17"/>
      <w:bookmarkEnd w:id="18"/>
      <w:r>
        <w:rPr>
          <w:rFonts w:hint="eastAsia" w:ascii="Times New Roman" w:hAnsi="Times New Roman"/>
          <w:sz w:val="24"/>
          <w:szCs w:val="24"/>
        </w:rPr>
        <w:t xml:space="preserve"> 左幅桥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_l</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_l</w:t>
      </w:r>
      <w:r>
        <w:rPr>
          <w:color w:val="0000FF"/>
        </w:rPr>
        <w:t>}}</w:t>
      </w:r>
    </w:p>
    <w:p>
      <w:pPr>
        <w:pStyle w:val="4"/>
        <w:spacing w:before="156" w:beforeLines="50" w:after="80"/>
        <w:rPr>
          <w:rFonts w:ascii="宋体" w:hAnsi="宋体"/>
          <w:sz w:val="24"/>
          <w:szCs w:val="24"/>
        </w:rPr>
      </w:pPr>
      <w:bookmarkStart w:id="19" w:name="_Toc374086602"/>
      <w:bookmarkStart w:id="20" w:name="_Toc433118723"/>
      <w:bookmarkStart w:id="21" w:name="_Toc68012914"/>
      <w:bookmarkStart w:id="22" w:name="_Toc16501686"/>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19"/>
      <w:bookmarkEnd w:id="20"/>
      <w:bookmarkEnd w:id="21"/>
      <w:bookmarkEnd w:id="22"/>
    </w:p>
    <w:p>
      <w:pPr>
        <w:rPr>
          <w:color w:val="0000FF"/>
        </w:rPr>
      </w:pPr>
      <w:r>
        <w:rPr>
          <w:rFonts w:hint="eastAsia"/>
          <w:color w:val="0000FF"/>
        </w:rPr>
        <w:t>{</w:t>
      </w:r>
      <w:r>
        <w:rPr>
          <w:color w:val="0000FF"/>
        </w:rPr>
        <w:t>{+F_componentInfo_low</w:t>
      </w:r>
      <w:r>
        <w:rPr>
          <w:rFonts w:hint="eastAsia"/>
          <w:color w:val="0000FF"/>
        </w:rPr>
        <w:t>_l</w:t>
      </w:r>
      <w:r>
        <w:rPr>
          <w:color w:val="0000FF"/>
        </w:rPr>
        <w:t>}}</w:t>
      </w:r>
    </w:p>
    <w:p>
      <w:pPr>
        <w:rPr>
          <w:color w:val="0000FF"/>
        </w:rPr>
      </w:pPr>
      <w:bookmarkStart w:id="23" w:name="_Toc433118720"/>
      <w:bookmarkStart w:id="24" w:name="_Toc16501683"/>
      <w:bookmarkStart w:id="25" w:name="_Toc374086599"/>
      <w:bookmarkStart w:id="26" w:name="_Toc68012911"/>
    </w:p>
    <w:bookmarkEnd w:id="23"/>
    <w:bookmarkEnd w:id="24"/>
    <w:bookmarkEnd w:id="25"/>
    <w:bookmarkEnd w:id="26"/>
    <w:p>
      <w:pPr>
        <w:pStyle w:val="3"/>
        <w:spacing w:before="156" w:beforeLines="50" w:beforeAutospacing="0" w:after="120"/>
        <w:rPr>
          <w:rFonts w:ascii="Times New Roman" w:hAnsi="Times New Roman"/>
          <w:sz w:val="24"/>
          <w:szCs w:val="24"/>
        </w:rPr>
      </w:pPr>
      <w:bookmarkStart w:id="27" w:name="_Toc16501690"/>
      <w:bookmarkStart w:id="28" w:name="_Toc68012919"/>
      <w:r>
        <w:rPr>
          <w:rFonts w:hint="eastAsia" w:ascii="Times New Roman" w:hAnsi="Times New Roman"/>
          <w:sz w:val="24"/>
          <w:szCs w:val="24"/>
        </w:rPr>
        <w:t xml:space="preserve">3.2 </w:t>
      </w:r>
      <w:r>
        <w:rPr>
          <w:rFonts w:hint="eastAsia" w:ascii="Times New Roman" w:hAnsi="Times New Roman"/>
          <w:sz w:val="24"/>
          <w:szCs w:val="24"/>
          <w:lang w:eastAsia="zh-CN"/>
        </w:rPr>
        <w:t>中</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m</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m</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m</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右</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_r</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r</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r</w:t>
      </w:r>
      <w:r>
        <w:rPr>
          <w:color w:val="0000FF"/>
        </w:rPr>
        <w:t>}}</w:t>
      </w: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27"/>
      <w:bookmarkStart w:id="29" w:name="_Toc16501691"/>
      <w:bookmarkStart w:id="30" w:name="_Toc520921997"/>
      <w:r>
        <w:rPr>
          <w:rFonts w:hint="eastAsia" w:ascii="Times New Roman" w:hAnsi="Times New Roman"/>
          <w:sz w:val="24"/>
          <w:szCs w:val="24"/>
        </w:rPr>
        <w:t xml:space="preserve">4 </w:t>
      </w:r>
      <w:r>
        <w:rPr>
          <w:rFonts w:hint="eastAsia" w:ascii="宋体" w:hAnsi="宋体" w:eastAsia="宋体"/>
          <w:sz w:val="24"/>
          <w:szCs w:val="24"/>
        </w:rPr>
        <w:t>桥梁技术状况评估</w:t>
      </w:r>
      <w:bookmarkEnd w:id="28"/>
      <w:bookmarkEnd w:id="29"/>
      <w:bookmarkEnd w:id="30"/>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1" w:name="_Toc16501692"/>
      <w:bookmarkStart w:id="32" w:name="_Toc490569671"/>
      <w:bookmarkStart w:id="33" w:name="_Toc520921998"/>
      <w:bookmarkStart w:id="34" w:name="_Toc68012920"/>
      <w:r>
        <w:rPr>
          <w:rFonts w:hint="eastAsia"/>
          <w:sz w:val="24"/>
          <w:szCs w:val="24"/>
        </w:rPr>
        <w:t>3.4.</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sz w:val="24"/>
        </w:rPr>
        <w:t>4</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5" w:name="_Toc520921999"/>
      <w:bookmarkStart w:id="36" w:name="_Toc68012921"/>
      <w:bookmarkStart w:id="37" w:name="_Toc490569672"/>
      <w:bookmarkStart w:id="38" w:name="_Toc16501693"/>
      <w:r>
        <w:rPr>
          <w:rFonts w:hint="eastAsia"/>
          <w:color w:val="0000FF"/>
          <w:szCs w:val="21"/>
        </w:rPr>
        <w:t>{</w:t>
      </w:r>
      <w:r>
        <w:rPr>
          <w:color w:val="0000FF"/>
          <w:szCs w:val="21"/>
        </w:rPr>
        <w:t>{+F_calculation_deck}}</w:t>
      </w:r>
      <w:bookmarkEnd w:id="35"/>
      <w:bookmarkEnd w:id="36"/>
      <w:bookmarkEnd w:id="37"/>
      <w:bookmarkEnd w:id="38"/>
    </w:p>
    <w:p>
      <w:pPr>
        <w:pStyle w:val="4"/>
        <w:spacing w:before="100" w:beforeAutospacing="1" w:after="60" w:line="400" w:lineRule="exact"/>
        <w:rPr>
          <w:sz w:val="24"/>
          <w:szCs w:val="24"/>
        </w:rPr>
      </w:pPr>
      <w:r>
        <w:rPr>
          <w:rFonts w:hint="eastAsia"/>
          <w:sz w:val="24"/>
          <w:szCs w:val="24"/>
        </w:rPr>
        <w:t>3.4.</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sz w:val="24"/>
        </w:rPr>
        <w:t>4</w:t>
      </w:r>
      <w:r>
        <w:rPr>
          <w:rFonts w:hint="eastAsia"/>
          <w:sz w:val="24"/>
        </w:rPr>
        <w:t>.</w:t>
      </w:r>
      <w:r>
        <w:rPr>
          <w:sz w:val="24"/>
        </w:rPr>
        <w:t>2</w:t>
      </w:r>
      <w:r>
        <w:rPr>
          <w:rFonts w:hint="eastAsia"/>
          <w:sz w:val="24"/>
          <w:lang w:val="en-US" w:eastAsia="zh-CN"/>
        </w:rPr>
        <w:t>-</w:t>
      </w:r>
      <w:r>
        <w:rPr>
          <w:sz w:val="24"/>
        </w:rPr>
        <w:t>2</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39" w:name="_Toc490569673"/>
      <w:bookmarkStart w:id="40" w:name="_Toc68012922"/>
      <w:bookmarkStart w:id="41" w:name="_Toc520922000"/>
      <w:bookmarkStart w:id="42" w:name="_Toc16501694"/>
      <w:r>
        <w:rPr>
          <w:rFonts w:hint="eastAsia"/>
          <w:sz w:val="24"/>
          <w:szCs w:val="24"/>
        </w:rPr>
        <w:t>3.4.</w:t>
      </w:r>
      <w:r>
        <w:rPr>
          <w:sz w:val="24"/>
          <w:szCs w:val="24"/>
        </w:rPr>
        <w:t>3</w:t>
      </w:r>
      <w:r>
        <w:rPr>
          <w:rFonts w:hint="eastAsia"/>
          <w:sz w:val="24"/>
          <w:szCs w:val="24"/>
        </w:rPr>
        <w:t>桥梁下部结构技术状况指数BCI</w:t>
      </w:r>
      <w:r>
        <w:rPr>
          <w:rFonts w:hint="eastAsia"/>
          <w:sz w:val="24"/>
          <w:szCs w:val="24"/>
          <w:vertAlign w:val="subscript"/>
        </w:rPr>
        <w:t>x</w:t>
      </w:r>
      <w:bookmarkEnd w:id="39"/>
      <w:bookmarkEnd w:id="40"/>
      <w:bookmarkEnd w:id="41"/>
      <w:bookmarkEnd w:id="42"/>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sz w:val="24"/>
        </w:rPr>
        <w:t>4</w:t>
      </w:r>
      <w:r>
        <w:rPr>
          <w:rFonts w:hint="eastAsia"/>
          <w:sz w:val="24"/>
        </w:rPr>
        <w:t>.</w:t>
      </w:r>
      <w:r>
        <w:rPr>
          <w:sz w:val="24"/>
        </w:rPr>
        <w:t>3</w:t>
      </w:r>
      <w:r>
        <w:rPr>
          <w:rFonts w:hint="eastAsia"/>
          <w:sz w:val="24"/>
          <w:lang w:val="en-US" w:eastAsia="zh-CN"/>
        </w:rPr>
        <w:t>-</w:t>
      </w:r>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1"/>
    <w:bookmarkEnd w:id="32"/>
    <w:bookmarkEnd w:id="33"/>
    <w:bookmarkEnd w:id="34"/>
    <w:p>
      <w:pPr>
        <w:pStyle w:val="4"/>
        <w:spacing w:before="62" w:beforeLines="20" w:after="0" w:line="400" w:lineRule="exact"/>
        <w:rPr>
          <w:sz w:val="24"/>
          <w:szCs w:val="24"/>
        </w:rPr>
      </w:pPr>
      <w:bookmarkStart w:id="43" w:name="_Toc16501695"/>
      <w:bookmarkStart w:id="44" w:name="_Toc68012923"/>
      <w:bookmarkStart w:id="45" w:name="_Toc490569674"/>
      <w:bookmarkStart w:id="46" w:name="_Toc520922001"/>
      <w:r>
        <w:rPr>
          <w:rFonts w:hint="eastAsia"/>
          <w:sz w:val="24"/>
          <w:szCs w:val="24"/>
        </w:rPr>
        <w:t>3.4.4整个桥梁技术状况指数BCI</w:t>
      </w:r>
      <w:bookmarkEnd w:id="43"/>
      <w:bookmarkEnd w:id="44"/>
      <w:bookmarkEnd w:id="45"/>
      <w:bookmarkEnd w:id="46"/>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整座桥梁结构完好状态评估标准见表3.3.4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桥梁上部结构、下部结构、桥面系的结构状况评估标准见表3.3.4</w:t>
      </w:r>
      <w:r>
        <w:rPr>
          <w:sz w:val="24"/>
        </w:rPr>
        <w:t>.</w:t>
      </w:r>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w:t>
      </w:r>
      <w:r>
        <w:rPr>
          <w:rFonts w:hint="eastAsia"/>
          <w:sz w:val="24"/>
          <w:lang w:val="en-US" w:eastAsia="zh-CN"/>
        </w:rPr>
        <w:t>-</w:t>
      </w:r>
      <w:bookmarkStart w:id="47" w:name="_GoBack"/>
      <w:bookmarkEnd w:id="47"/>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3A75C6B"/>
    <w:rsid w:val="07B914DD"/>
    <w:rsid w:val="08B804D1"/>
    <w:rsid w:val="0B0C5F77"/>
    <w:rsid w:val="0FA7589A"/>
    <w:rsid w:val="10D7482A"/>
    <w:rsid w:val="1247356E"/>
    <w:rsid w:val="130759E8"/>
    <w:rsid w:val="17DD474F"/>
    <w:rsid w:val="18A92C78"/>
    <w:rsid w:val="1A192542"/>
    <w:rsid w:val="1C1B329B"/>
    <w:rsid w:val="203869C8"/>
    <w:rsid w:val="22ED67BC"/>
    <w:rsid w:val="2524556B"/>
    <w:rsid w:val="25E9677D"/>
    <w:rsid w:val="29266BE2"/>
    <w:rsid w:val="293B62E1"/>
    <w:rsid w:val="29722DD1"/>
    <w:rsid w:val="2B673EA6"/>
    <w:rsid w:val="2C4E07CF"/>
    <w:rsid w:val="2CEC3DF8"/>
    <w:rsid w:val="2FD53C6F"/>
    <w:rsid w:val="31A07B2A"/>
    <w:rsid w:val="33545D02"/>
    <w:rsid w:val="36DE6E33"/>
    <w:rsid w:val="37645C9B"/>
    <w:rsid w:val="37F7473D"/>
    <w:rsid w:val="392E6561"/>
    <w:rsid w:val="39CC2F6B"/>
    <w:rsid w:val="3BB33DD2"/>
    <w:rsid w:val="3E2C63FF"/>
    <w:rsid w:val="41C77552"/>
    <w:rsid w:val="41EC4303"/>
    <w:rsid w:val="422A5E94"/>
    <w:rsid w:val="486B544C"/>
    <w:rsid w:val="487C7542"/>
    <w:rsid w:val="4A600544"/>
    <w:rsid w:val="4C623D3A"/>
    <w:rsid w:val="502C0761"/>
    <w:rsid w:val="564C489F"/>
    <w:rsid w:val="569F4989"/>
    <w:rsid w:val="57CE0ECC"/>
    <w:rsid w:val="58103492"/>
    <w:rsid w:val="58F9713A"/>
    <w:rsid w:val="5A3718BC"/>
    <w:rsid w:val="5C757E7F"/>
    <w:rsid w:val="5F0852CC"/>
    <w:rsid w:val="62D03293"/>
    <w:rsid w:val="62D523EA"/>
    <w:rsid w:val="65462EEE"/>
    <w:rsid w:val="678C024B"/>
    <w:rsid w:val="6C2D6C9C"/>
    <w:rsid w:val="718D75C1"/>
    <w:rsid w:val="74560786"/>
    <w:rsid w:val="745B09EC"/>
    <w:rsid w:val="76C45833"/>
    <w:rsid w:val="79212726"/>
    <w:rsid w:val="7BF5648F"/>
    <w:rsid w:val="7DD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94</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2023-11-01T08:16:48Z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